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341F" w:rsidRDefault="004A77CA" w:rsidP="00C744BE">
      <w:pPr>
        <w:pStyle w:val="Heading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pt;height:218pt" filled="t">
            <v:fill color2="black"/>
            <v:imagedata r:id="rId5" o:title=""/>
          </v:shape>
        </w:pict>
      </w:r>
    </w:p>
    <w:p w:rsidR="0052341F" w:rsidRDefault="0052341F"/>
    <w:p w:rsidR="00D76FE9" w:rsidRDefault="00B929BF" w:rsidP="00E24760">
      <w:pPr>
        <w:pStyle w:val="Title"/>
      </w:pPr>
      <w:r>
        <w:t>The Fact</w:t>
      </w:r>
      <w:r w:rsidR="00D76FE9">
        <w:t>s</w:t>
      </w:r>
    </w:p>
    <w:p w:rsidR="0052341F" w:rsidRDefault="0052341F">
      <w:proofErr w:type="spellStart"/>
      <w:r>
        <w:t>AlpHa</w:t>
      </w:r>
      <w:proofErr w:type="spellEnd"/>
      <w:r>
        <w:t xml:space="preserve"> ® Na is a synthetic </w:t>
      </w:r>
      <w:proofErr w:type="spellStart"/>
      <w:r>
        <w:t>fulvic</w:t>
      </w:r>
      <w:proofErr w:type="spellEnd"/>
      <w:r>
        <w:t xml:space="preserve"> acid designed to maximize the potential of soil organic matter to complex soluble metals in the soil solution. The product </w:t>
      </w:r>
      <w:proofErr w:type="spellStart"/>
      <w:r>
        <w:t>AlpHa</w:t>
      </w:r>
      <w:proofErr w:type="spellEnd"/>
      <w:r w:rsidR="00B929BF">
        <w:t xml:space="preserve"> ® Na has been formulated to complex with toxic a</w:t>
      </w:r>
      <w:r>
        <w:t>l</w:t>
      </w:r>
      <w:r w:rsidR="00B929BF">
        <w:t>uminium and other metals</w:t>
      </w:r>
      <w:r>
        <w:t xml:space="preserve"> which can produce toxic effects in pasture and crops</w:t>
      </w:r>
      <w:r w:rsidR="00B929BF">
        <w:t>,</w:t>
      </w:r>
      <w:r>
        <w:t xml:space="preserve"> </w:t>
      </w:r>
      <w:r w:rsidR="00B929BF">
        <w:t xml:space="preserve">including </w:t>
      </w:r>
      <w:r>
        <w:t>reducing yield and limiting the uptake and utilisation o</w:t>
      </w:r>
      <w:r w:rsidR="00B929BF">
        <w:t>f plant nutrients</w:t>
      </w:r>
      <w:r>
        <w:t xml:space="preserve">. </w:t>
      </w:r>
    </w:p>
    <w:p w:rsidR="0052341F" w:rsidRDefault="0052341F" w:rsidP="0052341F">
      <w:r>
        <w:t>When tested for effect against finely ground limestone (lime flour, LF</w:t>
      </w:r>
      <w:r w:rsidR="00B929BF">
        <w:t xml:space="preserve">) in pot trials, </w:t>
      </w:r>
      <w:proofErr w:type="spellStart"/>
      <w:r w:rsidR="00B929BF">
        <w:t>AlpHa</w:t>
      </w:r>
      <w:proofErr w:type="spellEnd"/>
      <w:r w:rsidR="00B929BF">
        <w:t xml:space="preserve"> ® Na </w:t>
      </w:r>
      <w:r>
        <w:t xml:space="preserve"> applied at 2 l/ha produc</w:t>
      </w:r>
      <w:r w:rsidR="00B929BF">
        <w:t>ed growth rates higher than 100 times as much LF</w:t>
      </w:r>
      <w:r w:rsidR="00D76FE9">
        <w:t xml:space="preserve"> </w:t>
      </w:r>
      <w:r w:rsidR="00B929BF">
        <w:t>( Bishop &amp; Quin, 2012) -</w:t>
      </w:r>
    </w:p>
    <w:p w:rsidR="0052341F" w:rsidRDefault="004A77CA" w:rsidP="0052341F">
      <w:pPr>
        <w:keepNext/>
      </w:pPr>
      <w:r>
        <w:pict>
          <v:shape id="_x0000_i1026" type="#_x0000_t75" style="width:283.5pt;height:160pt">
            <v:imagedata r:id="rId6" o:title=""/>
          </v:shape>
        </w:pict>
      </w:r>
    </w:p>
    <w:p w:rsidR="0052341F" w:rsidRDefault="0052341F" w:rsidP="0052341F">
      <w:pPr>
        <w:pStyle w:val="Caption"/>
      </w:pPr>
      <w:r>
        <w:t xml:space="preserve">Figure </w:t>
      </w:r>
      <w:fldSimple w:instr=" SEQ Figure \* ARABIC ">
        <w:r w:rsidR="00C82064">
          <w:rPr>
            <w:noProof/>
          </w:rPr>
          <w:t>1</w:t>
        </w:r>
      </w:fldSimple>
      <w:r>
        <w:t xml:space="preserve"> Cumulative dry matter response of ryegrass (</w:t>
      </w:r>
      <w:proofErr w:type="spellStart"/>
      <w:r>
        <w:t>Moata</w:t>
      </w:r>
      <w:proofErr w:type="spellEnd"/>
      <w:r>
        <w:t>) to lime flour applications of 0, 50, 100, 200,</w:t>
      </w:r>
      <w:r w:rsidR="00C744BE">
        <w:t xml:space="preserve"> 500 and 1000 kg/ha and </w:t>
      </w:r>
      <w:proofErr w:type="spellStart"/>
      <w:r w:rsidR="00C744BE">
        <w:t>AlpHa</w:t>
      </w:r>
      <w:proofErr w:type="spellEnd"/>
      <w:r w:rsidR="00C744BE">
        <w:t xml:space="preserve"> ®Na at 2l/ha. When applied to an acid soil </w:t>
      </w:r>
      <w:r w:rsidR="00B929BF">
        <w:t xml:space="preserve">with an </w:t>
      </w:r>
      <w:r w:rsidR="00C744BE">
        <w:t>initial pH 4.8 (Bishop</w:t>
      </w:r>
      <w:r w:rsidR="000E488F">
        <w:t xml:space="preserve"> et al.</w:t>
      </w:r>
      <w:r w:rsidR="00A53ABC">
        <w:t xml:space="preserve"> </w:t>
      </w:r>
      <w:r w:rsidR="00C744BE">
        <w:t>2012).</w:t>
      </w:r>
    </w:p>
    <w:p w:rsidR="0052341F" w:rsidRDefault="0052341F"/>
    <w:p w:rsidR="00C744BE" w:rsidRDefault="00B929BF" w:rsidP="00C744BE">
      <w:r>
        <w:t xml:space="preserve">The ability of </w:t>
      </w:r>
      <w:proofErr w:type="spellStart"/>
      <w:r>
        <w:t>AlpHa</w:t>
      </w:r>
      <w:proofErr w:type="spellEnd"/>
      <w:r>
        <w:t xml:space="preserve"> ® Na to specifically reduce</w:t>
      </w:r>
      <w:r w:rsidR="0052341F">
        <w:t xml:space="preserve"> metal toxicity in </w:t>
      </w:r>
      <w:r w:rsidR="00C744BE">
        <w:t>rye</w:t>
      </w:r>
      <w:r w:rsidR="0052341F">
        <w:t>grass (</w:t>
      </w:r>
      <w:proofErr w:type="spellStart"/>
      <w:r w:rsidR="0052341F">
        <w:t>Moata</w:t>
      </w:r>
      <w:proofErr w:type="spellEnd"/>
      <w:r w:rsidR="0052341F">
        <w:t xml:space="preserve">) </w:t>
      </w:r>
      <w:r>
        <w:t xml:space="preserve">was demonstrated in </w:t>
      </w:r>
      <w:r w:rsidR="0052341F">
        <w:t>solution cul</w:t>
      </w:r>
      <w:r>
        <w:t>ture studies</w:t>
      </w:r>
      <w:r w:rsidR="0052341F">
        <w:t xml:space="preserve"> (Bishop, </w:t>
      </w:r>
      <w:proofErr w:type="spellStart"/>
      <w:r w:rsidR="0052341F">
        <w:t>Jeyakumar</w:t>
      </w:r>
      <w:proofErr w:type="spellEnd"/>
      <w:r w:rsidR="0052341F">
        <w:t xml:space="preserve"> &amp; Quin, 2013)</w:t>
      </w:r>
      <w:r>
        <w:t xml:space="preserve">. Shoot and root growth was measured </w:t>
      </w:r>
      <w:r w:rsidR="0052341F">
        <w:lastRenderedPageBreak/>
        <w:t xml:space="preserve">accumulations </w:t>
      </w:r>
      <w:r>
        <w:t>a 6 week period</w:t>
      </w:r>
      <w:r w:rsidR="00C744BE">
        <w:t>. The test solutions used c</w:t>
      </w:r>
      <w:r>
        <w:t>oncentrations of  Al from</w:t>
      </w:r>
      <w:r w:rsidR="00C744BE">
        <w:t xml:space="preserve">  0 to 1.6 mg/l, Manganese (</w:t>
      </w:r>
      <w:proofErr w:type="spellStart"/>
      <w:r w:rsidR="00C744BE">
        <w:t>Mn</w:t>
      </w:r>
      <w:proofErr w:type="spellEnd"/>
      <w:r w:rsidR="00C744BE">
        <w:t xml:space="preserve">) </w:t>
      </w:r>
      <w:r w:rsidR="0052341F">
        <w:t xml:space="preserve"> </w:t>
      </w:r>
      <w:r>
        <w:t xml:space="preserve">from </w:t>
      </w:r>
      <w:r w:rsidR="0052341F">
        <w:t>0.05 to 40 mg/l</w:t>
      </w:r>
      <w:r>
        <w:t>,</w:t>
      </w:r>
      <w:r w:rsidR="0052341F">
        <w:t xml:space="preserve"> and </w:t>
      </w:r>
      <w:r w:rsidR="00C744BE">
        <w:t>Iron (</w:t>
      </w:r>
      <w:r w:rsidR="0052341F">
        <w:t>Fe</w:t>
      </w:r>
      <w:r w:rsidR="00C744BE">
        <w:t>)</w:t>
      </w:r>
      <w:r w:rsidR="0052341F">
        <w:t xml:space="preserve"> </w:t>
      </w:r>
      <w:r>
        <w:t xml:space="preserve">from 1 to 80 mg/l. </w:t>
      </w:r>
      <w:proofErr w:type="spellStart"/>
      <w:r w:rsidR="0052341F">
        <w:t>AlpHa</w:t>
      </w:r>
      <w:proofErr w:type="spellEnd"/>
      <w:r w:rsidR="0052341F">
        <w:t xml:space="preserve"> ® Na concentrations </w:t>
      </w:r>
      <w:r>
        <w:t>used were</w:t>
      </w:r>
      <w:r w:rsidR="00C744BE">
        <w:t xml:space="preserve"> </w:t>
      </w:r>
      <w:r w:rsidR="0052341F">
        <w:t xml:space="preserve"> 0, 0.2, 2 and 20 </w:t>
      </w:r>
      <w:proofErr w:type="spellStart"/>
      <w:r w:rsidR="0052341F">
        <w:t>ul</w:t>
      </w:r>
      <w:proofErr w:type="spellEnd"/>
      <w:r w:rsidR="0052341F">
        <w:t xml:space="preserve">/l </w:t>
      </w:r>
      <w:r w:rsidR="00C744BE">
        <w:t>or l/ha.</w:t>
      </w:r>
    </w:p>
    <w:p w:rsidR="0052341F" w:rsidRDefault="00B929BF" w:rsidP="00C744BE">
      <w:r>
        <w:t>A</w:t>
      </w:r>
      <w:r w:rsidR="0052341F">
        <w:t xml:space="preserve">t levels greater than 0.2 </w:t>
      </w:r>
      <w:proofErr w:type="spellStart"/>
      <w:r w:rsidR="0052341F">
        <w:t>ul</w:t>
      </w:r>
      <w:proofErr w:type="spellEnd"/>
      <w:r w:rsidR="0052341F">
        <w:t>/l in the growth solution</w:t>
      </w:r>
      <w:r>
        <w:t xml:space="preserve">, </w:t>
      </w:r>
      <w:proofErr w:type="spellStart"/>
      <w:r>
        <w:t>AlpHa</w:t>
      </w:r>
      <w:proofErr w:type="spellEnd"/>
      <w:r>
        <w:t>®</w:t>
      </w:r>
      <w:r w:rsidR="0052341F">
        <w:t xml:space="preserve"> </w:t>
      </w:r>
      <w:proofErr w:type="gramStart"/>
      <w:r w:rsidR="0052341F">
        <w:t>prevented  shoot</w:t>
      </w:r>
      <w:proofErr w:type="gramEnd"/>
      <w:r w:rsidR="0052341F">
        <w:t xml:space="preserve"> growth </w:t>
      </w:r>
      <w:r w:rsidR="00C744BE">
        <w:t>suppression</w:t>
      </w:r>
      <w:r w:rsidR="0052341F">
        <w:t xml:space="preserve"> of Al up</w:t>
      </w:r>
      <w:r>
        <w:t xml:space="preserve"> </w:t>
      </w:r>
      <w:r w:rsidR="0052341F">
        <w:t xml:space="preserve">to </w:t>
      </w:r>
      <w:r w:rsidR="00C744BE">
        <w:t xml:space="preserve">a concentration of </w:t>
      </w:r>
      <w:r w:rsidR="0052341F">
        <w:t xml:space="preserve">1.6 </w:t>
      </w:r>
      <w:proofErr w:type="spellStart"/>
      <w:r w:rsidR="0052341F">
        <w:t>mg</w:t>
      </w:r>
      <w:r w:rsidR="00C744BE">
        <w:t>Al</w:t>
      </w:r>
      <w:proofErr w:type="spellEnd"/>
      <w:r w:rsidR="0052341F">
        <w:t>/l</w:t>
      </w:r>
      <w:r>
        <w:t>,</w:t>
      </w:r>
      <w:r w:rsidR="0052341F">
        <w:t xml:space="preserve"> and reduced the effects on root growth </w:t>
      </w:r>
      <w:r w:rsidR="00C744BE">
        <w:t>suppression</w:t>
      </w:r>
      <w:r w:rsidR="0052341F">
        <w:t xml:space="preserve">. </w:t>
      </w:r>
      <w:r w:rsidR="00C82064">
        <w:t xml:space="preserve"> The toxic effect</w:t>
      </w:r>
      <w:r w:rsidR="0052341F">
        <w:t xml:space="preserve"> of </w:t>
      </w:r>
      <w:proofErr w:type="spellStart"/>
      <w:r w:rsidR="0052341F">
        <w:t>Mn</w:t>
      </w:r>
      <w:proofErr w:type="spellEnd"/>
      <w:r w:rsidR="0052341F">
        <w:t xml:space="preserve"> and Fe on grass growth was </w:t>
      </w:r>
      <w:r w:rsidR="00C82064">
        <w:t>delayed</w:t>
      </w:r>
      <w:r>
        <w:t xml:space="preserve"> by the presence</w:t>
      </w:r>
      <w:r w:rsidR="0052341F">
        <w:t xml:space="preserve"> of </w:t>
      </w:r>
      <w:proofErr w:type="spellStart"/>
      <w:r w:rsidR="00C82064">
        <w:t>AlpHa</w:t>
      </w:r>
      <w:proofErr w:type="spellEnd"/>
      <w:r w:rsidR="00C82064">
        <w:t xml:space="preserve"> ® Na at </w:t>
      </w:r>
      <w:r w:rsidR="0052341F">
        <w:t xml:space="preserve">2ul/l for </w:t>
      </w:r>
      <w:proofErr w:type="spellStart"/>
      <w:r w:rsidR="0052341F">
        <w:t>Mn</w:t>
      </w:r>
      <w:proofErr w:type="spellEnd"/>
      <w:r w:rsidR="0052341F">
        <w:t xml:space="preserve"> and 0.2 </w:t>
      </w:r>
      <w:proofErr w:type="spellStart"/>
      <w:r w:rsidR="0052341F">
        <w:t>ul</w:t>
      </w:r>
      <w:proofErr w:type="spellEnd"/>
      <w:r w:rsidR="0052341F">
        <w:t>/l for root growth in Fe.</w:t>
      </w:r>
    </w:p>
    <w:p w:rsidR="00C82064" w:rsidRDefault="00B929BF" w:rsidP="00C82064">
      <w:pPr>
        <w:keepNext/>
      </w:pPr>
      <w:r>
        <w:pict>
          <v:shape id="_x0000_i1027" type="#_x0000_t75" style="width:434pt;height:396pt">
            <v:imagedata r:id="rId7" o:title=""/>
          </v:shape>
        </w:pict>
      </w:r>
    </w:p>
    <w:p w:rsidR="00C82064" w:rsidRDefault="004A77CA" w:rsidP="00C82064">
      <w:pPr>
        <w:pStyle w:val="Caption"/>
      </w:pPr>
      <w:r>
        <w:rPr>
          <w:noProof/>
          <w:lang w:eastAsia="en-NZ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margin-left:336.35pt;margin-top:19.45pt;width:7.15pt;height:7.6pt;z-index:251657216" fillcolor="black" strokeweight=".25pt">
            <v:shadow on="t" type="perspective" color="#7f7f7f" opacity=".5" offset="1pt" offset2="-1pt"/>
          </v:shape>
        </w:pict>
      </w:r>
      <w:r w:rsidR="00C82064">
        <w:t xml:space="preserve">Figure </w:t>
      </w:r>
      <w:fldSimple w:instr=" SEQ Figure \* ARABIC ">
        <w:r w:rsidR="00C82064">
          <w:rPr>
            <w:noProof/>
          </w:rPr>
          <w:t>2</w:t>
        </w:r>
      </w:fldSimple>
      <w:r w:rsidR="00C82064">
        <w:t xml:space="preserve"> Growth response curves for herbage and roots of ryegrass (</w:t>
      </w:r>
      <w:proofErr w:type="spellStart"/>
      <w:r w:rsidR="00C82064">
        <w:t>Moata</w:t>
      </w:r>
      <w:proofErr w:type="spellEnd"/>
      <w:r w:rsidR="00C82064">
        <w:t xml:space="preserve">)grown in nutrient solutions containing added Al, </w:t>
      </w:r>
      <w:proofErr w:type="spellStart"/>
      <w:r w:rsidR="00C82064">
        <w:t>Mn</w:t>
      </w:r>
      <w:proofErr w:type="spellEnd"/>
      <w:r w:rsidR="00C82064">
        <w:t xml:space="preserve"> and Fe</w:t>
      </w:r>
      <w:r w:rsidR="00B929BF">
        <w:t>,</w:t>
      </w:r>
      <w:r w:rsidR="00C82064">
        <w:t xml:space="preserve"> with </w:t>
      </w:r>
      <w:proofErr w:type="spellStart"/>
      <w:r w:rsidR="00C82064">
        <w:t>AlpHa</w:t>
      </w:r>
      <w:proofErr w:type="spellEnd"/>
      <w:r w:rsidR="00C82064">
        <w:t xml:space="preserve"> ®Na added at </w:t>
      </w:r>
      <w:r w:rsidR="00E24760">
        <w:t>0(   ), 0.2(</w:t>
      </w:r>
      <w:r w:rsidR="00E24760">
        <w:rPr>
          <w:rFonts w:ascii="Arial" w:hAnsi="Arial" w:cs="Arial"/>
        </w:rPr>
        <w:t>■</w:t>
      </w:r>
      <w:r w:rsidR="00E24760">
        <w:t>), 2.0 (</w:t>
      </w:r>
      <w:r w:rsidR="00E24760">
        <w:rPr>
          <w:rFonts w:ascii="Arial" w:hAnsi="Arial" w:cs="Arial"/>
        </w:rPr>
        <w:t>▲</w:t>
      </w:r>
      <w:r w:rsidR="00E24760">
        <w:t xml:space="preserve">) and 20 </w:t>
      </w:r>
      <w:proofErr w:type="spellStart"/>
      <w:r w:rsidR="00E24760">
        <w:t>ul</w:t>
      </w:r>
      <w:proofErr w:type="spellEnd"/>
      <w:r w:rsidR="00E24760">
        <w:t xml:space="preserve">/l. Lines show the fitted herbicide dose response for each metal and </w:t>
      </w:r>
      <w:proofErr w:type="spellStart"/>
      <w:r w:rsidR="00E24760">
        <w:t>AlpHa</w:t>
      </w:r>
      <w:proofErr w:type="spellEnd"/>
      <w:r w:rsidR="00E24760">
        <w:t xml:space="preserve"> ® Na combination. </w:t>
      </w:r>
    </w:p>
    <w:p w:rsidR="00C82064" w:rsidRDefault="00C82064" w:rsidP="00C744BE"/>
    <w:p w:rsidR="0052341F" w:rsidRDefault="0052341F"/>
    <w:p w:rsidR="0052341F" w:rsidRDefault="0052341F">
      <w:r>
        <w:t xml:space="preserve">These published results </w:t>
      </w:r>
      <w:r w:rsidR="00103E92">
        <w:t xml:space="preserve">provide the scientific evidence </w:t>
      </w:r>
      <w:r>
        <w:t xml:space="preserve">that </w:t>
      </w:r>
      <w:proofErr w:type="spellStart"/>
      <w:r>
        <w:t>AlpHa</w:t>
      </w:r>
      <w:proofErr w:type="spellEnd"/>
      <w:r>
        <w:t xml:space="preserve"> ® Na</w:t>
      </w:r>
      <w:r w:rsidR="00103E92">
        <w:t xml:space="preserve"> has the ability to reduce limestone application rates and</w:t>
      </w:r>
      <w:r>
        <w:t xml:space="preserve"> reduc</w:t>
      </w:r>
      <w:r w:rsidR="00103E92">
        <w:t xml:space="preserve">e the toxic effects of </w:t>
      </w:r>
      <w:r>
        <w:t xml:space="preserve">Al </w:t>
      </w:r>
      <w:r w:rsidR="00103E92">
        <w:t>on pasture production in acid soils.</w:t>
      </w:r>
    </w:p>
    <w:p w:rsidR="0052341F" w:rsidRDefault="0052341F"/>
    <w:p w:rsidR="00103E92" w:rsidRPr="00103E92" w:rsidRDefault="00B929BF">
      <w:pPr>
        <w:rPr>
          <w:rStyle w:val="Strong"/>
        </w:rPr>
      </w:pPr>
      <w:r>
        <w:rPr>
          <w:rStyle w:val="Strong"/>
        </w:rPr>
        <w:t>Additional b</w:t>
      </w:r>
      <w:r w:rsidR="00103E92" w:rsidRPr="00103E92">
        <w:rPr>
          <w:rStyle w:val="Strong"/>
        </w:rPr>
        <w:t xml:space="preserve">enefits of </w:t>
      </w:r>
      <w:proofErr w:type="spellStart"/>
      <w:proofErr w:type="gramStart"/>
      <w:r w:rsidR="00103E92" w:rsidRPr="00103E92">
        <w:rPr>
          <w:rStyle w:val="Strong"/>
        </w:rPr>
        <w:t>A</w:t>
      </w:r>
      <w:r>
        <w:rPr>
          <w:rStyle w:val="Strong"/>
        </w:rPr>
        <w:t>a</w:t>
      </w:r>
      <w:r w:rsidR="00103E92" w:rsidRPr="00103E92">
        <w:rPr>
          <w:rStyle w:val="Strong"/>
        </w:rPr>
        <w:t>ppl</w:t>
      </w:r>
      <w:r>
        <w:rPr>
          <w:rStyle w:val="Strong"/>
        </w:rPr>
        <w:t>y</w:t>
      </w:r>
      <w:r w:rsidR="00103E92" w:rsidRPr="00103E92">
        <w:rPr>
          <w:rStyle w:val="Strong"/>
        </w:rPr>
        <w:t>ing</w:t>
      </w:r>
      <w:proofErr w:type="spellEnd"/>
      <w:r w:rsidR="00103E92" w:rsidRPr="00103E92">
        <w:rPr>
          <w:rStyle w:val="Strong"/>
        </w:rPr>
        <w:t xml:space="preserve">  </w:t>
      </w:r>
      <w:proofErr w:type="spellStart"/>
      <w:r w:rsidR="00103E92" w:rsidRPr="00103E92">
        <w:rPr>
          <w:rStyle w:val="Strong"/>
        </w:rPr>
        <w:t>AlpHa</w:t>
      </w:r>
      <w:proofErr w:type="spellEnd"/>
      <w:proofErr w:type="gramEnd"/>
      <w:r w:rsidR="00103E92" w:rsidRPr="00103E92">
        <w:rPr>
          <w:rStyle w:val="Strong"/>
        </w:rPr>
        <w:t xml:space="preserve"> ® Na with fertilisers </w:t>
      </w:r>
    </w:p>
    <w:p w:rsidR="0052341F" w:rsidRDefault="003826F0" w:rsidP="00284980">
      <w:r>
        <w:t>W</w:t>
      </w:r>
      <w:r w:rsidR="0052341F">
        <w:t xml:space="preserve">hen applied to phosphate fertiliser </w:t>
      </w:r>
      <w:proofErr w:type="spellStart"/>
      <w:r>
        <w:t>AlpHa</w:t>
      </w:r>
      <w:proofErr w:type="spellEnd"/>
      <w:r>
        <w:t xml:space="preserve"> ® Na </w:t>
      </w:r>
      <w:r w:rsidR="0052341F">
        <w:t xml:space="preserve">can also </w:t>
      </w:r>
      <w:r w:rsidR="00103E92">
        <w:t>inherence</w:t>
      </w:r>
      <w:r w:rsidR="0052341F">
        <w:t xml:space="preserve"> the effectiveness of the phosphate in a </w:t>
      </w:r>
      <w:r w:rsidR="00103E92">
        <w:t>similar</w:t>
      </w:r>
      <w:r w:rsidR="0052341F">
        <w:t xml:space="preserve"> manner to limestone by reducing Al to</w:t>
      </w:r>
      <w:r w:rsidR="00B929BF">
        <w:t>xicity and increasing</w:t>
      </w:r>
      <w:r w:rsidR="0052341F">
        <w:t xml:space="preserve"> growth response (unpublished). The </w:t>
      </w:r>
      <w:r w:rsidR="00103E92">
        <w:t>preliminary</w:t>
      </w:r>
      <w:r w:rsidR="0052341F">
        <w:t xml:space="preserve">  results of coating DAP with 2l/T with </w:t>
      </w:r>
      <w:proofErr w:type="spellStart"/>
      <w:r w:rsidR="0052341F">
        <w:t>AlpHa</w:t>
      </w:r>
      <w:proofErr w:type="spellEnd"/>
      <w:r w:rsidR="0052341F">
        <w:t xml:space="preserve"> ® Na showed an </w:t>
      </w:r>
      <w:r w:rsidR="00103E92">
        <w:t>increase in herbage g</w:t>
      </w:r>
      <w:r w:rsidR="0052341F">
        <w:t>rowth response by over 100% compared to the uncoated DAP</w:t>
      </w:r>
      <w:r w:rsidR="00B929BF">
        <w:t>,</w:t>
      </w:r>
      <w:r w:rsidR="0052341F">
        <w:t xml:space="preserve"> </w:t>
      </w:r>
      <w:r w:rsidR="00103E92">
        <w:t xml:space="preserve">when applied to acid high P fixing soils. </w:t>
      </w:r>
      <w:r w:rsidR="0052341F">
        <w:t xml:space="preserve"> </w:t>
      </w:r>
      <w:r w:rsidR="00B929BF">
        <w:t>Similar results have been obtained in field trials.</w:t>
      </w:r>
    </w:p>
    <w:p w:rsidR="0052341F" w:rsidRDefault="004A77CA">
      <w:r>
        <w:pict>
          <v:shape id="_x0000_s1035" type="#_x0000_t75" style="position:absolute;margin-left:0;margin-top:0;width:449.5pt;height:252.8pt;z-index:251658240">
            <v:imagedata r:id="rId8" o:title=""/>
          </v:shape>
        </w:pict>
      </w:r>
    </w:p>
    <w:p w:rsidR="0052341F" w:rsidRDefault="0052341F"/>
    <w:p w:rsidR="00A53ABC" w:rsidRDefault="00A53ABC"/>
    <w:p w:rsidR="00A53ABC" w:rsidRDefault="00A53ABC"/>
    <w:p w:rsidR="00A53ABC" w:rsidRDefault="00A53ABC"/>
    <w:p w:rsidR="00A53ABC" w:rsidRDefault="00A53ABC"/>
    <w:p w:rsidR="00A53ABC" w:rsidRDefault="00A53ABC"/>
    <w:p w:rsidR="00A53ABC" w:rsidRDefault="00A53ABC"/>
    <w:p w:rsidR="00A53ABC" w:rsidRDefault="00A53ABC"/>
    <w:p w:rsidR="00A53ABC" w:rsidRDefault="00A53ABC"/>
    <w:p w:rsidR="00A53ABC" w:rsidRDefault="00A53ABC" w:rsidP="00641006">
      <w:pPr>
        <w:pStyle w:val="Caption"/>
      </w:pPr>
      <w:r>
        <w:t>Figure 3 Cumulative herbage growth of ryegrass</w:t>
      </w:r>
      <w:r w:rsidR="004D086C">
        <w:t xml:space="preserve"> </w:t>
      </w:r>
      <w:r>
        <w:t>(</w:t>
      </w:r>
      <w:proofErr w:type="spellStart"/>
      <w:r>
        <w:t>Moata</w:t>
      </w:r>
      <w:proofErr w:type="spellEnd"/>
      <w:r>
        <w:t>)</w:t>
      </w:r>
      <w:r w:rsidR="004D086C">
        <w:t xml:space="preserve"> grown in acid </w:t>
      </w:r>
      <w:proofErr w:type="spellStart"/>
      <w:r w:rsidR="004D086C">
        <w:t>Dannevirke</w:t>
      </w:r>
      <w:proofErr w:type="spellEnd"/>
      <w:r w:rsidR="004D086C">
        <w:t xml:space="preserve"> silt loam (pH</w:t>
      </w:r>
      <w:r w:rsidR="00B929BF">
        <w:t xml:space="preserve"> </w:t>
      </w:r>
      <w:r w:rsidR="004D086C">
        <w:t>4.3)in response to the addition of DAP</w:t>
      </w:r>
      <w:r w:rsidR="00641006">
        <w:t xml:space="preserve"> (20 </w:t>
      </w:r>
      <w:proofErr w:type="spellStart"/>
      <w:r w:rsidR="00641006">
        <w:t>kgP</w:t>
      </w:r>
      <w:proofErr w:type="spellEnd"/>
      <w:r w:rsidR="00641006">
        <w:t>/ha)</w:t>
      </w:r>
      <w:r w:rsidR="004D086C">
        <w:t xml:space="preserve"> coated with </w:t>
      </w:r>
      <w:proofErr w:type="spellStart"/>
      <w:r w:rsidR="004D086C">
        <w:t>AlpHa</w:t>
      </w:r>
      <w:proofErr w:type="spellEnd"/>
      <w:r w:rsidR="004D086C">
        <w:t xml:space="preserve"> ® Na, Calcium </w:t>
      </w:r>
      <w:proofErr w:type="spellStart"/>
      <w:r w:rsidR="004D086C">
        <w:t>lignosulph</w:t>
      </w:r>
      <w:r w:rsidR="00641006">
        <w:t>o</w:t>
      </w:r>
      <w:r w:rsidR="004D086C">
        <w:t>nate</w:t>
      </w:r>
      <w:proofErr w:type="spellEnd"/>
      <w:r w:rsidR="004D086C">
        <w:t xml:space="preserve"> (Cal-</w:t>
      </w:r>
      <w:proofErr w:type="spellStart"/>
      <w:r w:rsidR="004D086C">
        <w:t>lig</w:t>
      </w:r>
      <w:proofErr w:type="spellEnd"/>
      <w:r w:rsidR="004D086C">
        <w:t>), wattle extract tannin (</w:t>
      </w:r>
      <w:proofErr w:type="spellStart"/>
      <w:r w:rsidR="004D086C">
        <w:t>Clarotan</w:t>
      </w:r>
      <w:proofErr w:type="spellEnd"/>
      <w:r w:rsidR="004D086C">
        <w:t xml:space="preserve"> ®) and slow release polyurethane (5RLPDAP)at rates equivalent to 2l/T and 5% in the case of 5RLPDAP. The Nil-P control using sulphate of ammonium as N source.</w:t>
      </w:r>
      <w:r w:rsidR="00641006">
        <w:t xml:space="preserve"> Grass was cut at 26(</w:t>
      </w:r>
      <w:r w:rsidR="004A77CA">
        <w:pict>
          <v:shape id="_x0000_i1028" type="#_x0000_t75" style="width:14.5pt;height:9pt">
            <v:imagedata r:id="rId9" o:title=""/>
          </v:shape>
        </w:pict>
      </w:r>
      <w:r w:rsidR="00641006">
        <w:t>) and 49(</w:t>
      </w:r>
      <w:r w:rsidR="004A77CA">
        <w:pict>
          <v:shape id="_x0000_i1029" type="#_x0000_t75" style="width:12pt;height:9pt">
            <v:imagedata r:id="rId10" o:title=""/>
          </v:shape>
        </w:pict>
      </w:r>
      <w:r w:rsidR="00641006">
        <w:t>) days.</w:t>
      </w:r>
    </w:p>
    <w:p w:rsidR="004D086C" w:rsidRDefault="004D086C" w:rsidP="00641006"/>
    <w:p w:rsidR="00641006" w:rsidRDefault="00641006" w:rsidP="00641006"/>
    <w:p w:rsidR="00641006" w:rsidRDefault="00641006" w:rsidP="00641006">
      <w:r>
        <w:t xml:space="preserve">The results of these trials show that </w:t>
      </w:r>
      <w:proofErr w:type="spellStart"/>
      <w:r>
        <w:t>AlpHa</w:t>
      </w:r>
      <w:proofErr w:type="spellEnd"/>
      <w:r>
        <w:t xml:space="preserve"> ® Na is an effective product for controlling </w:t>
      </w:r>
      <w:r w:rsidR="00135CF9">
        <w:t xml:space="preserve">the effects of aluminium toxicity in pasture reducing the amount of limestone </w:t>
      </w:r>
      <w:r w:rsidR="005E0B36">
        <w:t xml:space="preserve">required and enhancing the effects of fertilisers limited by </w:t>
      </w:r>
      <w:proofErr w:type="spellStart"/>
      <w:r w:rsidR="005E0B36">
        <w:t>phytotoxicity</w:t>
      </w:r>
      <w:proofErr w:type="spellEnd"/>
      <w:r w:rsidR="005E0B36">
        <w:t>.</w:t>
      </w:r>
    </w:p>
    <w:p w:rsidR="005E0B36" w:rsidRDefault="005E0B36" w:rsidP="00641006"/>
    <w:p w:rsidR="000E488F" w:rsidRDefault="000E488F" w:rsidP="00641006"/>
    <w:p w:rsidR="000E488F" w:rsidRDefault="000E488F" w:rsidP="000E488F">
      <w:pPr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</w:pPr>
    </w:p>
    <w:p w:rsidR="00B929BF" w:rsidRDefault="00B929BF" w:rsidP="000E488F">
      <w:pPr>
        <w:suppressAutoHyphens w:val="0"/>
        <w:spacing w:after="0" w:line="240" w:lineRule="auto"/>
        <w:rPr>
          <w:rStyle w:val="Strong"/>
        </w:rPr>
      </w:pPr>
    </w:p>
    <w:p w:rsidR="00B929BF" w:rsidRDefault="00B929BF" w:rsidP="000E488F">
      <w:pPr>
        <w:suppressAutoHyphens w:val="0"/>
        <w:spacing w:after="0" w:line="240" w:lineRule="auto"/>
        <w:rPr>
          <w:rStyle w:val="Strong"/>
        </w:rPr>
      </w:pPr>
    </w:p>
    <w:p w:rsidR="00B929BF" w:rsidRDefault="00B929BF" w:rsidP="000E488F">
      <w:pPr>
        <w:suppressAutoHyphens w:val="0"/>
        <w:spacing w:after="0" w:line="240" w:lineRule="auto"/>
        <w:rPr>
          <w:rStyle w:val="Strong"/>
        </w:rPr>
      </w:pPr>
    </w:p>
    <w:p w:rsidR="000E488F" w:rsidRPr="0086041D" w:rsidRDefault="000E488F" w:rsidP="000E488F">
      <w:pPr>
        <w:suppressAutoHyphens w:val="0"/>
        <w:spacing w:after="0" w:line="240" w:lineRule="auto"/>
        <w:rPr>
          <w:rStyle w:val="Strong"/>
        </w:rPr>
      </w:pPr>
      <w:bookmarkStart w:id="0" w:name="_GoBack"/>
      <w:bookmarkEnd w:id="0"/>
      <w:r w:rsidRPr="0086041D">
        <w:rPr>
          <w:rStyle w:val="Strong"/>
        </w:rPr>
        <w:t>Bibliography</w:t>
      </w:r>
    </w:p>
    <w:p w:rsidR="000E488F" w:rsidRDefault="000E488F" w:rsidP="000E488F">
      <w:pPr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</w:pPr>
    </w:p>
    <w:p w:rsidR="000E488F" w:rsidRDefault="000E488F" w:rsidP="000E488F">
      <w:pPr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</w:pPr>
    </w:p>
    <w:p w:rsidR="000E488F" w:rsidRPr="000E488F" w:rsidRDefault="000E488F" w:rsidP="000E488F">
      <w:pPr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</w:pPr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  <w:t xml:space="preserve">Bishop, P., Quin, B., Pham, T. S., &amp; Nguyen, L. (2012, February). The use of poly-carboxylic acids and sodium silicate to increase fertilizer P efficiency and reduce lime requirements on acid soils in New Zealand and Vietnam. In: </w:t>
      </w:r>
      <w:r w:rsidRPr="000E488F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en-NZ"/>
        </w:rPr>
        <w:t>Advanced Nutrient Management: Gains from the Past - Goals for the Future</w:t>
      </w:r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  <w:t>. (</w:t>
      </w:r>
      <w:proofErr w:type="spellStart"/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  <w:t>Eds</w:t>
      </w:r>
      <w:proofErr w:type="spellEnd"/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  <w:t xml:space="preserve"> L.D. Currie and C L. Christensen). </w:t>
      </w:r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u w:val="single"/>
          <w:lang w:eastAsia="en-NZ"/>
        </w:rPr>
        <w:t>http://flrc.massey.ac.nz/publications.html.</w:t>
      </w:r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  <w:t xml:space="preserve"> Occasional Report No. 25. Fertilizer and Lime Research Centre, Massey University, Palmerston North, New Zealand.</w:t>
      </w:r>
    </w:p>
    <w:p w:rsidR="000E488F" w:rsidRDefault="000E488F" w:rsidP="00641006"/>
    <w:p w:rsidR="000E488F" w:rsidRPr="000E488F" w:rsidRDefault="000E488F" w:rsidP="000E488F">
      <w:pPr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</w:pPr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  <w:t xml:space="preserve">Bishop, P., </w:t>
      </w:r>
      <w:proofErr w:type="spellStart"/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  <w:t>Jeyakumar</w:t>
      </w:r>
      <w:proofErr w:type="spellEnd"/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  <w:t xml:space="preserve">, P., &amp; Quin, B. (2013). Amelioration of Al, </w:t>
      </w:r>
      <w:proofErr w:type="spellStart"/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  <w:t>Mn</w:t>
      </w:r>
      <w:proofErr w:type="spellEnd"/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  <w:t xml:space="preserve"> and Fe toxicity in </w:t>
      </w:r>
      <w:proofErr w:type="spellStart"/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  <w:t>rygrass</w:t>
      </w:r>
      <w:proofErr w:type="spellEnd"/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  <w:t xml:space="preserve"> and clover, and wheat and rice, by poly-carboxylic acids.</w:t>
      </w:r>
      <w:r w:rsidRPr="000E488F">
        <w:rPr>
          <w:rFonts w:ascii="Arial" w:hAnsi="Arial" w:cs="Arial"/>
          <w:color w:val="000000"/>
          <w:sz w:val="23"/>
          <w:szCs w:val="23"/>
        </w:rPr>
        <w:t xml:space="preserve"> </w:t>
      </w:r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  <w:t xml:space="preserve">In: </w:t>
      </w:r>
      <w:r w:rsidRPr="000E488F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en-NZ"/>
        </w:rPr>
        <w:t>Accurate and efficient use of nutrients on farms</w:t>
      </w:r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  <w:t>. (</w:t>
      </w:r>
      <w:proofErr w:type="spellStart"/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  <w:t>Eds</w:t>
      </w:r>
      <w:proofErr w:type="spellEnd"/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  <w:t xml:space="preserve"> L.D. Currie and C L. Christensen). </w:t>
      </w:r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u w:val="single"/>
          <w:lang w:eastAsia="en-NZ"/>
        </w:rPr>
        <w:t>http://flrc.massey.ac.nz/publications.html.</w:t>
      </w:r>
      <w:r w:rsidRPr="000E488F">
        <w:rPr>
          <w:rFonts w:ascii="Arial" w:eastAsia="Times New Roman" w:hAnsi="Arial" w:cs="Arial"/>
          <w:color w:val="222222"/>
          <w:kern w:val="0"/>
          <w:sz w:val="20"/>
          <w:szCs w:val="20"/>
          <w:lang w:eastAsia="en-NZ"/>
        </w:rPr>
        <w:t xml:space="preserve"> Occasional Report No. 26. Fertilizer and Lime Research Centre, Massey University, Palmerston North, New Zealand.</w:t>
      </w:r>
    </w:p>
    <w:p w:rsidR="000E488F" w:rsidRDefault="000E488F" w:rsidP="00641006"/>
    <w:sectPr w:rsidR="000E488F">
      <w:pgSz w:w="11906" w:h="16838"/>
      <w:pgMar w:top="144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980"/>
    <w:rsid w:val="000E488F"/>
    <w:rsid w:val="00103E92"/>
    <w:rsid w:val="00135CF9"/>
    <w:rsid w:val="00284980"/>
    <w:rsid w:val="002B7303"/>
    <w:rsid w:val="003826F0"/>
    <w:rsid w:val="004A77CA"/>
    <w:rsid w:val="004D086C"/>
    <w:rsid w:val="00521794"/>
    <w:rsid w:val="0052341F"/>
    <w:rsid w:val="005E0B36"/>
    <w:rsid w:val="00641006"/>
    <w:rsid w:val="00666FEF"/>
    <w:rsid w:val="00841AD1"/>
    <w:rsid w:val="0086041D"/>
    <w:rsid w:val="00A53ABC"/>
    <w:rsid w:val="00B929BF"/>
    <w:rsid w:val="00C744BE"/>
    <w:rsid w:val="00C82064"/>
    <w:rsid w:val="00CC22B5"/>
    <w:rsid w:val="00D76FE9"/>
    <w:rsid w:val="00E24760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90252B9-2271-4649-B0E8-F774C753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476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476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Strong">
    <w:name w:val="Strong"/>
    <w:basedOn w:val="DefaultParagraphFont"/>
    <w:uiPriority w:val="22"/>
    <w:qFormat/>
    <w:rsid w:val="00103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D6C8-B56D-4899-A756-17F4A817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Claramae</dc:creator>
  <cp:keywords/>
  <cp:lastModifiedBy>Bert Quin</cp:lastModifiedBy>
  <cp:revision>2</cp:revision>
  <cp:lastPrinted>1899-12-31T11:00:00Z</cp:lastPrinted>
  <dcterms:created xsi:type="dcterms:W3CDTF">2015-01-03T08:34:00Z</dcterms:created>
  <dcterms:modified xsi:type="dcterms:W3CDTF">2015-01-03T08:34:00Z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